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1EB">
        <w:fldChar w:fldCharType="begin"/>
      </w:r>
      <w:r w:rsidR="002261EB">
        <w:instrText xml:space="preserve"> DOCPROPERTY  TSG/WGRef  \* MERGEFORMAT </w:instrText>
      </w:r>
      <w:r w:rsidR="002261EB">
        <w:fldChar w:fldCharType="separate"/>
      </w:r>
      <w:r w:rsidR="003609EF">
        <w:rPr>
          <w:b/>
          <w:noProof/>
          <w:sz w:val="24"/>
        </w:rPr>
        <w:t>CT6</w:t>
      </w:r>
      <w:r w:rsidR="002261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61EB">
        <w:fldChar w:fldCharType="begin"/>
      </w:r>
      <w:r w:rsidR="002261EB">
        <w:instrText xml:space="preserve"> DOCPROPERTY  MtgSeq  \* MERGEFORMAT </w:instrText>
      </w:r>
      <w:r w:rsidR="002261EB">
        <w:fldChar w:fldCharType="separate"/>
      </w:r>
      <w:r w:rsidR="00DE1DCF">
        <w:rPr>
          <w:b/>
          <w:noProof/>
          <w:sz w:val="24"/>
        </w:rPr>
        <w:t>88</w:t>
      </w:r>
      <w:r w:rsidR="002261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61EB">
        <w:fldChar w:fldCharType="begin"/>
      </w:r>
      <w:r w:rsidR="002261EB">
        <w:instrText xml:space="preserve"> DOCPROPERTY  Tdoc#  \* MERGEFORMAT </w:instrText>
      </w:r>
      <w:r w:rsidR="002261EB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DE1DCF">
        <w:rPr>
          <w:b/>
          <w:i/>
          <w:noProof/>
          <w:sz w:val="28"/>
        </w:rPr>
        <w:t>xxxx</w:t>
      </w:r>
      <w:r w:rsidR="002261EB">
        <w:rPr>
          <w:b/>
          <w:i/>
          <w:noProof/>
          <w:sz w:val="28"/>
        </w:rPr>
        <w:fldChar w:fldCharType="end"/>
      </w:r>
    </w:p>
    <w:p w:rsidR="00DE1DCF" w:rsidRDefault="002261EB" w:rsidP="00DE1D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1DCF">
        <w:rPr>
          <w:b/>
          <w:noProof/>
          <w:sz w:val="24"/>
        </w:rPr>
        <w:t>Kunming (P.R. of China)</w:t>
      </w:r>
      <w:r>
        <w:rPr>
          <w:b/>
          <w:noProof/>
          <w:sz w:val="24"/>
        </w:rPr>
        <w:fldChar w:fldCharType="end"/>
      </w:r>
      <w:r w:rsidR="00DE1DCF">
        <w:rPr>
          <w:b/>
          <w:noProof/>
          <w:sz w:val="24"/>
        </w:rPr>
        <w:t>, 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>-20</w:t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 xml:space="preserve"> April</w:t>
      </w:r>
      <w:r w:rsidR="00DE1DC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B0FA0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6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0FA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6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6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9B0FA0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the section regarding c</w:t>
            </w:r>
            <w:r w:rsidR="0007662C">
              <w:t xml:space="preserve">alculation of </w:t>
            </w:r>
            <w:r>
              <w:t>SUCI</w:t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458F1">
              <w:fldChar w:fldCharType="begin"/>
            </w:r>
            <w:r w:rsidR="00D458F1">
              <w:instrText xml:space="preserve"> DOCPROPERTY  SourceIfTsg  \* MERGEFORMAT </w:instrText>
            </w:r>
            <w:r w:rsidR="00D458F1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6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07662C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07662C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6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details on the </w:t>
            </w:r>
            <w:r w:rsidR="0007662C">
              <w:rPr>
                <w:noProof/>
              </w:rPr>
              <w:t xml:space="preserve">calculation of </w:t>
            </w:r>
            <w:r w:rsidR="00F86D10">
              <w:rPr>
                <w:noProof/>
              </w:rPr>
              <w:t xml:space="preserve">SUCI </w:t>
            </w:r>
            <w:r w:rsidR="0007662C">
              <w:rPr>
                <w:noProof/>
              </w:rPr>
              <w:t>are now a</w:t>
            </w:r>
            <w:r>
              <w:rPr>
                <w:noProof/>
              </w:rPr>
              <w:t>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to USIM with regards to </w:t>
            </w:r>
            <w:r w:rsidR="00F86D10">
              <w:rPr>
                <w:noProof/>
              </w:rPr>
              <w:t>SUCI generation</w:t>
            </w:r>
            <w:r>
              <w:rPr>
                <w:noProof/>
              </w:rPr>
              <w:t xml:space="preserve"> has been </w:t>
            </w:r>
            <w:r w:rsidR="00F86D10">
              <w:rPr>
                <w:noProof/>
              </w:rPr>
              <w:t xml:space="preserve">updated in </w:t>
            </w:r>
            <w:r>
              <w:rPr>
                <w:noProof/>
              </w:rPr>
              <w:t>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FA484E" w:rsidRDefault="00FA484E" w:rsidP="00FA484E">
      <w:pPr>
        <w:pStyle w:val="Heading3"/>
        <w:rPr>
          <w:noProof/>
        </w:rPr>
      </w:pPr>
      <w:bookmarkStart w:id="3" w:name="_Toc499881412"/>
      <w:bookmarkStart w:id="4" w:name="_Toc499890444"/>
      <w:bookmarkStart w:id="5" w:name="_Toc510544905"/>
      <w:r>
        <w:rPr>
          <w:noProof/>
        </w:rPr>
        <w:t>6.2.4</w:t>
      </w:r>
      <w:r>
        <w:rPr>
          <w:noProof/>
        </w:rPr>
        <w:tab/>
      </w:r>
      <w:r w:rsidRPr="00B6630E">
        <w:rPr>
          <w:noProof/>
        </w:rPr>
        <w:t>Subscriber Permanent Identifier</w:t>
      </w:r>
      <w:bookmarkEnd w:id="3"/>
      <w:bookmarkEnd w:id="4"/>
      <w:bookmarkEnd w:id="5"/>
    </w:p>
    <w:p w:rsidR="00FA484E" w:rsidRDefault="00FA484E" w:rsidP="00FA484E">
      <w:r>
        <w:t>According to TS 23.501 [9] clause 5.9.1, e</w:t>
      </w:r>
      <w:r w:rsidRPr="00B6630E">
        <w:t>ach subscriber in the 5G system shall be allocated one 5G Subscription Permanent Identifier (SUPI).</w:t>
      </w:r>
      <w:r>
        <w:t xml:space="preserve"> The SUPI can be the IMSI or a </w:t>
      </w:r>
      <w:r w:rsidRPr="00B6630E">
        <w:t>Network Access Identifier (NAI)</w:t>
      </w:r>
      <w:r>
        <w:t>.</w:t>
      </w:r>
    </w:p>
    <w:p w:rsidR="00FA484E" w:rsidRDefault="00FA484E" w:rsidP="00FA484E">
      <w:pPr>
        <w:pStyle w:val="EditorsNote"/>
        <w:ind w:left="1530" w:hanging="1246"/>
      </w:pPr>
      <w:r>
        <w:t>Editor’s Note:</w:t>
      </w:r>
      <w:r>
        <w:tab/>
        <w:t>It is for further study if the definition of the SUPI requires any work in the USIM. At the present time, it is assumed that usage of IMSI is sufficient in Rel.15.</w:t>
      </w:r>
    </w:p>
    <w:p w:rsidR="00FA484E" w:rsidRDefault="00FA484E" w:rsidP="00FA484E">
      <w:r>
        <w:t xml:space="preserve">According to TR 33.899 [6] clause E.7.2.1.2, SA3 agreed that privacy for the </w:t>
      </w:r>
      <w:r>
        <w:rPr>
          <w:lang w:eastAsia="ja-JP"/>
        </w:rPr>
        <w:t>5G permanent subscription identifier is</w:t>
      </w:r>
      <w:r w:rsidRPr="004D2E08">
        <w:rPr>
          <w:lang w:eastAsia="ja-JP"/>
        </w:rPr>
        <w:t xml:space="preserve"> part of </w:t>
      </w:r>
      <w:r>
        <w:rPr>
          <w:lang w:eastAsia="ja-JP"/>
        </w:rPr>
        <w:t xml:space="preserve">5G system </w:t>
      </w:r>
      <w:r w:rsidRPr="004D2E08">
        <w:rPr>
          <w:lang w:eastAsia="ja-JP"/>
        </w:rPr>
        <w:t>Phase 1</w:t>
      </w:r>
      <w:r>
        <w:rPr>
          <w:lang w:eastAsia="ja-JP"/>
        </w:rPr>
        <w:t xml:space="preserve">. Furthermore, SA3 also agreed that </w:t>
      </w:r>
      <w:r>
        <w:t xml:space="preserve">subscription identifier privacy shall be based upon HN asymmetric key solution, as indicated in TR 33.899 [6] </w:t>
      </w:r>
      <w:r>
        <w:rPr>
          <w:lang w:eastAsia="ja-JP"/>
        </w:rPr>
        <w:t xml:space="preserve">clause E.7.2.6.2. SA3 has also agreed in TS 33.501 [8] clause 5.1.5 that </w:t>
      </w:r>
      <w:r>
        <w:t>t</w:t>
      </w:r>
      <w:r w:rsidRPr="00550569">
        <w:t>he home network public key shall be stored on the tamper resistant secure hardware component</w:t>
      </w:r>
      <w:r>
        <w:t xml:space="preserve">. </w:t>
      </w:r>
      <w:del w:id="6" w:author="Amandeep Virk" w:date="2018-04-05T18:11:00Z">
        <w:r w:rsidDel="0095267B">
          <w:delText xml:space="preserve">Anyway, SA3 has not concluded </w:delText>
        </w:r>
        <w:r w:rsidDel="0095267B">
          <w:rPr>
            <w:lang w:eastAsia="ja-JP"/>
          </w:rPr>
          <w:delText xml:space="preserve">in which entities (e.g. ME, USIM) </w:delText>
        </w:r>
        <w:r w:rsidRPr="00934309" w:rsidDel="0095267B">
          <w:rPr>
            <w:lang w:eastAsia="ja-JP"/>
          </w:rPr>
          <w:delText>the calculation of SUCI is done</w:delText>
        </w:r>
        <w:r w:rsidDel="0095267B">
          <w:delText>.</w:delText>
        </w:r>
      </w:del>
    </w:p>
    <w:p w:rsidR="00FA484E" w:rsidRPr="00934309" w:rsidRDefault="0095267B" w:rsidP="00FA484E">
      <w:ins w:id="7" w:author="Amandeep Virk" w:date="2018-04-05T18:11:00Z">
        <w:r>
          <w:t xml:space="preserve">As mentioned in TS 33.501 [8] clause 5.2.5, based on operator’s decision, indicated by the USIM, the calculation of the SUCI shall be performed either by the USIM or by the ME. Thus, </w:t>
        </w:r>
      </w:ins>
      <w:r w:rsidR="00FA484E">
        <w:t xml:space="preserve">CT6 needs to expand the USIM capabilities </w:t>
      </w:r>
      <w:del w:id="8" w:author="Amandeep Virk" w:date="2018-04-05T18:11:00Z">
        <w:r w:rsidR="00FA484E" w:rsidDel="0095267B">
          <w:delText xml:space="preserve">depending on the SA3 decision about the </w:delText>
        </w:r>
        <w:r w:rsidR="00FA484E" w:rsidRPr="00934309" w:rsidDel="0095267B">
          <w:delText>calculation of SUCI</w:delText>
        </w:r>
      </w:del>
      <w:ins w:id="9" w:author="Amandeep Virk" w:date="2018-04-05T18:11:00Z">
        <w:r>
          <w:t>as follows</w:t>
        </w:r>
      </w:ins>
      <w:r w:rsidR="00FA484E" w:rsidRPr="00934309">
        <w:t>:</w:t>
      </w:r>
    </w:p>
    <w:p w:rsidR="00FA484E" w:rsidRPr="00934309" w:rsidRDefault="00FA484E" w:rsidP="00FA484E">
      <w:pPr>
        <w:numPr>
          <w:ilvl w:val="0"/>
          <w:numId w:val="1"/>
        </w:numPr>
      </w:pPr>
      <w:r w:rsidRPr="00934309">
        <w:t xml:space="preserve">if the calculation is done on the </w:t>
      </w:r>
      <w:ins w:id="10" w:author="Amandeep Virk" w:date="2018-04-05T18:13:00Z">
        <w:r w:rsidR="000002C7">
          <w:t>USIM</w:t>
        </w:r>
      </w:ins>
      <w:del w:id="11" w:author="Amandeep Virk" w:date="2018-04-05T18:13:00Z">
        <w:r w:rsidRPr="00934309" w:rsidDel="000002C7">
          <w:delText>UICC</w:delText>
        </w:r>
      </w:del>
      <w:r w:rsidRPr="00934309">
        <w:t>, then a new mechanism to calculate the SUCI is required, either extending one of the existing commands or with the introduction of a new command. Moreover, CT6 may decide to create a new EF that is not accessible by the ME to store the home network public key, in order to allow a standardized way to manage it;</w:t>
      </w:r>
    </w:p>
    <w:p w:rsidR="00FA484E" w:rsidRDefault="00FA484E" w:rsidP="00FA484E">
      <w:pPr>
        <w:numPr>
          <w:ilvl w:val="0"/>
          <w:numId w:val="1"/>
        </w:numPr>
      </w:pPr>
      <w:r w:rsidRPr="00934309">
        <w:t>if the calculation is performed in the ME, then CT6 needs to add a new EF for the storage of the home network public key.</w:t>
      </w:r>
    </w:p>
    <w:p w:rsidR="00FA484E" w:rsidRPr="00FA484E" w:rsidRDefault="00FA484E" w:rsidP="00FA484E">
      <w:pPr>
        <w:pStyle w:val="EditorsNote"/>
      </w:pPr>
      <w:del w:id="12" w:author="Amandeep Virk" w:date="2018-04-05T18:12:00Z">
        <w:r w:rsidDel="0095267B">
          <w:delText>Editor’s Note:</w:delText>
        </w:r>
        <w:r w:rsidDel="0095267B">
          <w:tab/>
          <w:delText>This section needs to be revised considering the SA3 decisions made in TS 33.501 [8].</w:delText>
        </w:r>
      </w:del>
    </w:p>
    <w:sectPr w:rsidR="00FA484E" w:rsidRPr="00FA48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1EB" w:rsidRDefault="002261EB">
      <w:r>
        <w:separator/>
      </w:r>
    </w:p>
  </w:endnote>
  <w:endnote w:type="continuationSeparator" w:id="0">
    <w:p w:rsidR="002261EB" w:rsidRDefault="0022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1EB" w:rsidRDefault="002261EB">
      <w:r>
        <w:separator/>
      </w:r>
    </w:p>
  </w:footnote>
  <w:footnote w:type="continuationSeparator" w:id="0">
    <w:p w:rsidR="002261EB" w:rsidRDefault="00226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D458F1">
      <w:fldChar w:fldCharType="begin"/>
    </w:r>
    <w:r w:rsidR="00D458F1">
      <w:instrText>PAGE</w:instrText>
    </w:r>
    <w:r w:rsidR="00D458F1">
      <w:fldChar w:fldCharType="separate"/>
    </w:r>
    <w:r>
      <w:rPr>
        <w:noProof/>
      </w:rPr>
      <w:t>1</w:t>
    </w:r>
    <w:r w:rsidR="00D458F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2C7"/>
    <w:rsid w:val="00011D53"/>
    <w:rsid w:val="00022E4A"/>
    <w:rsid w:val="0007662C"/>
    <w:rsid w:val="00082BE9"/>
    <w:rsid w:val="000A6394"/>
    <w:rsid w:val="000B7FED"/>
    <w:rsid w:val="000C038A"/>
    <w:rsid w:val="000C6598"/>
    <w:rsid w:val="00145D43"/>
    <w:rsid w:val="001622CE"/>
    <w:rsid w:val="00192C46"/>
    <w:rsid w:val="00195A0D"/>
    <w:rsid w:val="001A08B3"/>
    <w:rsid w:val="001A7B60"/>
    <w:rsid w:val="001B52F0"/>
    <w:rsid w:val="001B7A65"/>
    <w:rsid w:val="001E41F3"/>
    <w:rsid w:val="002261EB"/>
    <w:rsid w:val="00256E48"/>
    <w:rsid w:val="0026004D"/>
    <w:rsid w:val="002640DD"/>
    <w:rsid w:val="00275D12"/>
    <w:rsid w:val="00284FEB"/>
    <w:rsid w:val="002860C4"/>
    <w:rsid w:val="002B5741"/>
    <w:rsid w:val="002D573A"/>
    <w:rsid w:val="00305409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5E3726"/>
    <w:rsid w:val="00621188"/>
    <w:rsid w:val="006257ED"/>
    <w:rsid w:val="00645E0B"/>
    <w:rsid w:val="00695808"/>
    <w:rsid w:val="006B46FB"/>
    <w:rsid w:val="006B4B47"/>
    <w:rsid w:val="006B74FB"/>
    <w:rsid w:val="006E21FB"/>
    <w:rsid w:val="0072405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66BCC"/>
    <w:rsid w:val="00870EE7"/>
    <w:rsid w:val="00883F80"/>
    <w:rsid w:val="008A45A6"/>
    <w:rsid w:val="008F686C"/>
    <w:rsid w:val="009148DE"/>
    <w:rsid w:val="00920AA5"/>
    <w:rsid w:val="0093677C"/>
    <w:rsid w:val="0095267B"/>
    <w:rsid w:val="009777D9"/>
    <w:rsid w:val="00991B88"/>
    <w:rsid w:val="009A5753"/>
    <w:rsid w:val="009A579D"/>
    <w:rsid w:val="009B0FA0"/>
    <w:rsid w:val="009C42FA"/>
    <w:rsid w:val="009C5D18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66BA2"/>
    <w:rsid w:val="00C95985"/>
    <w:rsid w:val="00CC5026"/>
    <w:rsid w:val="00D03F9A"/>
    <w:rsid w:val="00D06D51"/>
    <w:rsid w:val="00D24991"/>
    <w:rsid w:val="00D458F1"/>
    <w:rsid w:val="00D50255"/>
    <w:rsid w:val="00D929A9"/>
    <w:rsid w:val="00DD49E5"/>
    <w:rsid w:val="00DE018B"/>
    <w:rsid w:val="00DE1DCF"/>
    <w:rsid w:val="00DE34CF"/>
    <w:rsid w:val="00E03527"/>
    <w:rsid w:val="00E13F3D"/>
    <w:rsid w:val="00E40FD2"/>
    <w:rsid w:val="00EE7D7C"/>
    <w:rsid w:val="00F25D98"/>
    <w:rsid w:val="00F300FB"/>
    <w:rsid w:val="00F60252"/>
    <w:rsid w:val="00F86D10"/>
    <w:rsid w:val="00FA48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F4ABA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38</cp:revision>
  <cp:lastPrinted>1900-01-01T08:00:00Z</cp:lastPrinted>
  <dcterms:created xsi:type="dcterms:W3CDTF">2015-08-19T09:34:00Z</dcterms:created>
  <dcterms:modified xsi:type="dcterms:W3CDTF">2018-04-10T21:52:00Z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